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CD70" w14:textId="760FF183" w:rsidR="0018725E" w:rsidRPr="00EA3865" w:rsidRDefault="0018725E" w:rsidP="00EA3865">
      <w:pPr>
        <w:pStyle w:val="Heading1"/>
        <w:spacing w:before="4" w:after="4" w:line="240" w:lineRule="auto"/>
        <w:jc w:val="center"/>
        <w:rPr>
          <w:rFonts w:ascii="Calibri" w:hAnsi="Calibri" w:cs="Calibri"/>
          <w:sz w:val="30"/>
          <w:szCs w:val="30"/>
        </w:rPr>
      </w:pPr>
      <w:r w:rsidRPr="00EA3865">
        <w:rPr>
          <w:rFonts w:ascii="Calibri" w:hAnsi="Calibri" w:cs="Calibri"/>
          <w:sz w:val="30"/>
          <w:szCs w:val="30"/>
        </w:rPr>
        <w:t>Principles for Internal Selection Processes relating to Research</w:t>
      </w:r>
      <w:r w:rsidRPr="00EA3865">
        <w:rPr>
          <w:rFonts w:ascii="Calibri" w:hAnsi="Calibri" w:cs="Calibri"/>
          <w:sz w:val="30"/>
          <w:szCs w:val="30"/>
        </w:rPr>
        <w:t xml:space="preserve"> </w:t>
      </w:r>
      <w:r w:rsidRPr="00EA3865">
        <w:rPr>
          <w:rFonts w:ascii="Calibri" w:hAnsi="Calibri" w:cs="Calibri"/>
          <w:sz w:val="30"/>
          <w:szCs w:val="30"/>
        </w:rPr>
        <w:t>Applications (‘Demand Management’ Processes)</w:t>
      </w:r>
    </w:p>
    <w:p w14:paraId="356B2883" w14:textId="77777777" w:rsidR="00EA3865" w:rsidRPr="00EA3865" w:rsidRDefault="00EA3865" w:rsidP="00EA3865">
      <w:pPr>
        <w:rPr>
          <w:rFonts w:ascii="Calibri" w:hAnsi="Calibri" w:cs="Calibri"/>
        </w:rPr>
      </w:pPr>
    </w:p>
    <w:p w14:paraId="4850F636" w14:textId="77777777" w:rsidR="0018725E" w:rsidRPr="00EA3865" w:rsidRDefault="0018725E" w:rsidP="0018725E">
      <w:pPr>
        <w:pStyle w:val="Heading2"/>
        <w:spacing w:before="4" w:after="4" w:line="240" w:lineRule="auto"/>
        <w:rPr>
          <w:rFonts w:ascii="Calibri" w:hAnsi="Calibri" w:cs="Calibri"/>
          <w:sz w:val="28"/>
          <w:szCs w:val="28"/>
        </w:rPr>
      </w:pPr>
      <w:r w:rsidRPr="00EA3865">
        <w:rPr>
          <w:rFonts w:ascii="Calibri" w:hAnsi="Calibri" w:cs="Calibri"/>
          <w:sz w:val="28"/>
          <w:szCs w:val="28"/>
        </w:rPr>
        <w:t>Introduction</w:t>
      </w:r>
    </w:p>
    <w:p w14:paraId="65025C1E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The principles are intended to apply to all research application processes for which there is an</w:t>
      </w:r>
    </w:p>
    <w:p w14:paraId="2694D752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internal selection process: for example, UKRI research fellowships and CDTs. They </w:t>
      </w:r>
      <w:proofErr w:type="gramStart"/>
      <w:r w:rsidRPr="00EA3865">
        <w:rPr>
          <w:rFonts w:ascii="Calibri" w:hAnsi="Calibri" w:cs="Calibri"/>
        </w:rPr>
        <w:t>apply</w:t>
      </w:r>
      <w:proofErr w:type="gramEnd"/>
    </w:p>
    <w:p w14:paraId="37153843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throughout the whole process from the announcement of a new opportunity/call through to</w:t>
      </w:r>
    </w:p>
    <w:p w14:paraId="441C2327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submission and beyond to implementation, where applicable.</w:t>
      </w:r>
    </w:p>
    <w:p w14:paraId="307B2009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067D6D95" w14:textId="30E085D6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They should always be adhered to unless clear exceptional circumstances apply. The principles</w:t>
      </w:r>
    </w:p>
    <w:p w14:paraId="2E17B4C7" w14:textId="2650D6D6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below are guided by the Seven Principles of Public Life, otherwise known as the </w:t>
      </w:r>
      <w:hyperlink r:id="rId5" w:history="1">
        <w:r w:rsidRPr="00EA3865">
          <w:rPr>
            <w:rStyle w:val="Hyperlink"/>
            <w:rFonts w:ascii="Calibri" w:hAnsi="Calibri" w:cs="Calibri"/>
          </w:rPr>
          <w:t>‘Nolan</w:t>
        </w:r>
        <w:r w:rsidRPr="00EA3865">
          <w:rPr>
            <w:rStyle w:val="Hyperlink"/>
            <w:rFonts w:ascii="Calibri" w:hAnsi="Calibri" w:cs="Calibri"/>
          </w:rPr>
          <w:t xml:space="preserve"> </w:t>
        </w:r>
        <w:r w:rsidRPr="00EA3865">
          <w:rPr>
            <w:rStyle w:val="Hyperlink"/>
            <w:rFonts w:ascii="Calibri" w:hAnsi="Calibri" w:cs="Calibri"/>
          </w:rPr>
          <w:t>Principles’</w:t>
        </w:r>
      </w:hyperlink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 xml:space="preserve">and </w:t>
      </w:r>
      <w:hyperlink r:id="rId6" w:history="1">
        <w:r w:rsidRPr="00EA3865">
          <w:rPr>
            <w:rStyle w:val="Hyperlink"/>
            <w:rFonts w:ascii="Calibri" w:hAnsi="Calibri" w:cs="Calibri"/>
          </w:rPr>
          <w:t>UKRI’s recent principles of peer review</w:t>
        </w:r>
      </w:hyperlink>
      <w:r w:rsidRPr="00EA3865">
        <w:rPr>
          <w:rFonts w:ascii="Calibri" w:hAnsi="Calibri" w:cs="Calibri"/>
        </w:rPr>
        <w:t>.</w:t>
      </w:r>
    </w:p>
    <w:p w14:paraId="67F1B234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5E7EF502" w14:textId="6C67DF62" w:rsidR="0018725E" w:rsidRPr="00EA3865" w:rsidRDefault="0018725E" w:rsidP="0018725E">
      <w:pPr>
        <w:pStyle w:val="Heading2"/>
        <w:spacing w:before="4" w:after="4" w:line="240" w:lineRule="auto"/>
        <w:rPr>
          <w:rFonts w:ascii="Calibri" w:hAnsi="Calibri" w:cs="Calibri"/>
          <w:sz w:val="28"/>
          <w:szCs w:val="28"/>
        </w:rPr>
      </w:pPr>
      <w:r w:rsidRPr="00EA3865">
        <w:rPr>
          <w:rFonts w:ascii="Calibri" w:hAnsi="Calibri" w:cs="Calibri"/>
          <w:sz w:val="28"/>
          <w:szCs w:val="28"/>
        </w:rPr>
        <w:t>Principles</w:t>
      </w:r>
    </w:p>
    <w:p w14:paraId="1A4D9527" w14:textId="5F1D975C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Those involved in internal selection processes must adhere to </w:t>
      </w:r>
      <w:proofErr w:type="gramStart"/>
      <w:r w:rsidRPr="00EA3865">
        <w:rPr>
          <w:rFonts w:ascii="Calibri" w:hAnsi="Calibri" w:cs="Calibri"/>
        </w:rPr>
        <w:t>all of</w:t>
      </w:r>
      <w:proofErr w:type="gramEnd"/>
      <w:r w:rsidRPr="00EA3865">
        <w:rPr>
          <w:rFonts w:ascii="Calibri" w:hAnsi="Calibri" w:cs="Calibri"/>
        </w:rPr>
        <w:t xml:space="preserve"> the following unless there are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genuinely exceptional and unforeseeable circumstances preventing this:</w:t>
      </w:r>
    </w:p>
    <w:p w14:paraId="4F113D6F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2F2C7808" w14:textId="23646B9E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ind w:left="284" w:hanging="284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>Provide clear communications</w:t>
      </w:r>
      <w:r w:rsidRPr="00EA3865">
        <w:rPr>
          <w:rFonts w:ascii="Calibri" w:hAnsi="Calibri" w:cs="Calibri"/>
        </w:rPr>
        <w:t xml:space="preserve"> – all communications (including feedback where applicable)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should be clear, respectful, open, timely and constructive. It should be clear what is expected of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applicants and what they can expect from the process. Institutional strategic focus should be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outlined in advance, where relevant, to manage expectations and guide applicants in their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proposals.</w:t>
      </w:r>
    </w:p>
    <w:p w14:paraId="5B3A8D20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153123BD" w14:textId="28E03237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ind w:left="284" w:hanging="284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>Be accountable</w:t>
      </w:r>
      <w:r w:rsidRPr="00EA3865">
        <w:rPr>
          <w:rFonts w:ascii="Calibri" w:hAnsi="Calibri" w:cs="Calibri"/>
        </w:rPr>
        <w:t xml:space="preserve"> – there should be consistent and clear guidance about each stage of the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process including timescales. It should be clear who is managing and signing off each stage of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the process and what is involved. This includes support available, the peer-review process and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the constitution of decision-making panels and assessment criteria. Selection panel chairs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should oversee the process and not themselves be decision-makers unless a casting vote is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required. Applicants should be mindful of the commitment to lead future proposal development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or project delivery should they be successful (at any stage).</w:t>
      </w:r>
    </w:p>
    <w:p w14:paraId="010D561A" w14:textId="77777777" w:rsidR="0018725E" w:rsidRPr="00EA3865" w:rsidRDefault="0018725E" w:rsidP="0018725E">
      <w:pPr>
        <w:spacing w:before="4" w:after="4" w:line="240" w:lineRule="auto"/>
        <w:ind w:left="284" w:hanging="284"/>
        <w:rPr>
          <w:rFonts w:ascii="Calibri" w:hAnsi="Calibri" w:cs="Calibri"/>
        </w:rPr>
      </w:pPr>
    </w:p>
    <w:p w14:paraId="6A5BCD45" w14:textId="3790D7A1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ind w:left="284" w:hanging="284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 xml:space="preserve">Be open, </w:t>
      </w:r>
      <w:proofErr w:type="gramStart"/>
      <w:r w:rsidRPr="00EA3865">
        <w:rPr>
          <w:rFonts w:ascii="Calibri" w:hAnsi="Calibri" w:cs="Calibri"/>
          <w:b/>
          <w:bCs/>
        </w:rPr>
        <w:t>fair</w:t>
      </w:r>
      <w:proofErr w:type="gramEnd"/>
      <w:r w:rsidRPr="00EA3865">
        <w:rPr>
          <w:rFonts w:ascii="Calibri" w:hAnsi="Calibri" w:cs="Calibri"/>
          <w:b/>
          <w:bCs/>
        </w:rPr>
        <w:t xml:space="preserve"> and supportive</w:t>
      </w:r>
      <w:r w:rsidRPr="00EA3865">
        <w:rPr>
          <w:rFonts w:ascii="Calibri" w:hAnsi="Calibri" w:cs="Calibri"/>
        </w:rPr>
        <w:t xml:space="preserve"> - opportunities should be promoted widely to suitably qualified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colleagues and applicants should be provided with and/or directed to support at each stage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(where available and appropriate). There should be transparency about the effort involved, the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benefits of applying and the likelihood of success through indications of internal (and external if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selected) expected competitiveness.</w:t>
      </w:r>
    </w:p>
    <w:p w14:paraId="55FBE2EE" w14:textId="77777777" w:rsidR="0018725E" w:rsidRPr="00EA3865" w:rsidRDefault="0018725E" w:rsidP="0018725E">
      <w:pPr>
        <w:spacing w:before="4" w:after="4" w:line="240" w:lineRule="auto"/>
        <w:ind w:left="284" w:hanging="284"/>
        <w:rPr>
          <w:rFonts w:ascii="Calibri" w:hAnsi="Calibri" w:cs="Calibri"/>
        </w:rPr>
      </w:pPr>
    </w:p>
    <w:p w14:paraId="5A2A6C9B" w14:textId="77777777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ind w:left="284" w:hanging="284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>Act with integrity</w:t>
      </w:r>
      <w:r w:rsidRPr="00EA3865">
        <w:rPr>
          <w:rFonts w:ascii="Calibri" w:hAnsi="Calibri" w:cs="Calibri"/>
        </w:rPr>
        <w:t xml:space="preserve"> – colleagues should act ethically, </w:t>
      </w:r>
      <w:proofErr w:type="gramStart"/>
      <w:r w:rsidRPr="00EA3865">
        <w:rPr>
          <w:rFonts w:ascii="Calibri" w:hAnsi="Calibri" w:cs="Calibri"/>
        </w:rPr>
        <w:t>impartially</w:t>
      </w:r>
      <w:proofErr w:type="gramEnd"/>
      <w:r w:rsidRPr="00EA3865">
        <w:rPr>
          <w:rFonts w:ascii="Calibri" w:hAnsi="Calibri" w:cs="Calibri"/>
        </w:rPr>
        <w:t xml:space="preserve"> and actively promote and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robustly support the principles and challenge poor behaviour wherever it occurs. Conflicts of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interest (COIs – see below for examples) or other real or perceived sources of bias should be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declared. This should be done in advance (where known) by both applicants and panel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members so that appropriate action can be taken. Where not known in advance, any conflicts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emerging later should be declared as the earliest possible opportunity and appropriate action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taken.</w:t>
      </w:r>
    </w:p>
    <w:p w14:paraId="28954EBA" w14:textId="77777777" w:rsidR="0018725E" w:rsidRPr="00EA3865" w:rsidRDefault="0018725E" w:rsidP="0018725E">
      <w:pPr>
        <w:pStyle w:val="ListParagraph"/>
        <w:rPr>
          <w:rFonts w:ascii="Calibri" w:hAnsi="Calibri" w:cs="Calibri"/>
        </w:rPr>
      </w:pPr>
    </w:p>
    <w:p w14:paraId="0D9E053A" w14:textId="1866933F" w:rsidR="0018725E" w:rsidRPr="00EA3865" w:rsidRDefault="0018725E" w:rsidP="0018725E">
      <w:pPr>
        <w:pStyle w:val="ListParagraph"/>
        <w:spacing w:before="4" w:after="4" w:line="240" w:lineRule="auto"/>
        <w:ind w:left="284"/>
        <w:rPr>
          <w:rFonts w:ascii="Calibri" w:hAnsi="Calibri" w:cs="Calibri"/>
        </w:rPr>
      </w:pPr>
      <w:r w:rsidRPr="00EA3865">
        <w:rPr>
          <w:rFonts w:ascii="Calibri" w:hAnsi="Calibri" w:cs="Calibri"/>
        </w:rPr>
        <w:t>Appropriate action will normally mean that staff with conflicts or other real or perceived sources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of bias remove themselves completely from the assessment process. Colleagues with COIs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must not chair selection panels under any circumstances.</w:t>
      </w:r>
    </w:p>
    <w:p w14:paraId="023B388C" w14:textId="1A9DC022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1C8BBB9A" w14:textId="77777777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lastRenderedPageBreak/>
        <w:t>Be robust yet timely</w:t>
      </w:r>
      <w:r w:rsidRPr="00EA3865">
        <w:rPr>
          <w:rFonts w:ascii="Calibri" w:hAnsi="Calibri" w:cs="Calibri"/>
        </w:rPr>
        <w:t xml:space="preserve"> – (where possible) a timeline of the whole process should be published in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advance to allow each stage to be efficiently managed. Applicants should have adequate notice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and time to prepare while allowing sufficient time for reviewers and those supporting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development of proposals to offer a robust service.</w:t>
      </w:r>
    </w:p>
    <w:p w14:paraId="5F3455DA" w14:textId="77777777" w:rsidR="0018725E" w:rsidRPr="00EA3865" w:rsidRDefault="0018725E" w:rsidP="0018725E">
      <w:pPr>
        <w:pStyle w:val="ListParagraph"/>
        <w:spacing w:before="4" w:after="4" w:line="240" w:lineRule="auto"/>
        <w:ind w:left="360"/>
        <w:rPr>
          <w:rFonts w:ascii="Calibri" w:hAnsi="Calibri" w:cs="Calibri"/>
        </w:rPr>
      </w:pPr>
    </w:p>
    <w:p w14:paraId="4310FC78" w14:textId="08A06065" w:rsidR="0018725E" w:rsidRPr="00EA3865" w:rsidRDefault="0018725E" w:rsidP="0018725E">
      <w:pPr>
        <w:pStyle w:val="ListParagraph"/>
        <w:spacing w:before="4" w:after="4" w:line="240" w:lineRule="auto"/>
        <w:ind w:left="360"/>
        <w:rPr>
          <w:rFonts w:ascii="Calibri" w:hAnsi="Calibri" w:cs="Calibri"/>
        </w:rPr>
      </w:pPr>
      <w:r w:rsidRPr="00EA3865">
        <w:rPr>
          <w:rFonts w:ascii="Calibri" w:hAnsi="Calibri" w:cs="Calibri"/>
        </w:rPr>
        <w:t>Applicants should be given normally not less than 10 working days to prepare any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documentation and normally not less than 5 working days to prepare for any interviews or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 xml:space="preserve">meetings where these form part of the selection process. It is noted that timelines and </w:t>
      </w:r>
      <w:proofErr w:type="gramStart"/>
      <w:r w:rsidRPr="00EA3865">
        <w:rPr>
          <w:rFonts w:ascii="Calibri" w:hAnsi="Calibri" w:cs="Calibri"/>
        </w:rPr>
        <w:t>late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stage</w:t>
      </w:r>
      <w:proofErr w:type="gramEnd"/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changes are often controlled by funders which could affect the ability to fully adhere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to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this principle in all case, in these instances communications will be as timely as possible.</w:t>
      </w:r>
    </w:p>
    <w:p w14:paraId="29A954ED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5B1C27A7" w14:textId="5F1261FB" w:rsidR="0018725E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 xml:space="preserve">Ensure representation </w:t>
      </w:r>
      <w:r w:rsidRPr="00EA3865">
        <w:rPr>
          <w:rFonts w:ascii="Calibri" w:hAnsi="Calibri" w:cs="Calibri"/>
        </w:rPr>
        <w:t>– selection panels should be balanced and representative in line with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EDI principles. For example, there would an expectation of roughly equal numbers of men and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women and some inclusion (where practicable) of colleagues with protected characteristics.</w:t>
      </w:r>
      <w:r w:rsidR="00EA3865"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Panels must also be balanced and representative with respect to the disciplinary spread across</w:t>
      </w:r>
      <w:r w:rsidR="00EA3865"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the university, depending on the nature of the grant scheme in question. For example, for a</w:t>
      </w:r>
      <w:r w:rsidR="00EA3865"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generic scheme equal representation would be expected from each Faculty. If it is more</w:t>
      </w:r>
      <w:r w:rsidR="00EA3865"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specialist, then it may be acceptable for a particular Faculty to be in a majority.</w:t>
      </w:r>
    </w:p>
    <w:p w14:paraId="2F5D3C42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1A9EFB0F" w14:textId="60A8D0E5" w:rsidR="00B211AC" w:rsidRPr="00EA3865" w:rsidRDefault="0018725E" w:rsidP="0018725E">
      <w:pPr>
        <w:pStyle w:val="ListParagraph"/>
        <w:numPr>
          <w:ilvl w:val="0"/>
          <w:numId w:val="1"/>
        </w:num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  <w:b/>
          <w:bCs/>
        </w:rPr>
        <w:t xml:space="preserve">Be respectful </w:t>
      </w:r>
      <w:r w:rsidRPr="00EA3865">
        <w:rPr>
          <w:rFonts w:ascii="Calibri" w:hAnsi="Calibri" w:cs="Calibri"/>
        </w:rPr>
        <w:t>– all colleagues should act in a respectful way and uphold the University’s values.</w:t>
      </w:r>
      <w:r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This includes appreciation of professional service staff expertise in the development of</w:t>
      </w:r>
      <w:r w:rsidR="00EA3865" w:rsidRPr="00EA3865">
        <w:rPr>
          <w:rFonts w:ascii="Calibri" w:hAnsi="Calibri" w:cs="Calibri"/>
        </w:rPr>
        <w:t xml:space="preserve"> </w:t>
      </w:r>
      <w:r w:rsidRPr="00EA3865">
        <w:rPr>
          <w:rFonts w:ascii="Calibri" w:hAnsi="Calibri" w:cs="Calibri"/>
        </w:rPr>
        <w:t>proposals.</w:t>
      </w:r>
    </w:p>
    <w:p w14:paraId="06E2F248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73EA0E71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p w14:paraId="49B7A12E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br w:type="page"/>
      </w:r>
    </w:p>
    <w:p w14:paraId="6A9254C3" w14:textId="6696FEBE" w:rsidR="0018725E" w:rsidRPr="00EA3865" w:rsidRDefault="0018725E" w:rsidP="0018725E">
      <w:pPr>
        <w:pStyle w:val="Heading2"/>
        <w:spacing w:before="4" w:after="4" w:line="240" w:lineRule="auto"/>
        <w:rPr>
          <w:rFonts w:ascii="Calibri" w:hAnsi="Calibri" w:cs="Calibri"/>
          <w:sz w:val="28"/>
          <w:szCs w:val="28"/>
        </w:rPr>
      </w:pPr>
      <w:r w:rsidRPr="00EA3865">
        <w:rPr>
          <w:rFonts w:ascii="Calibri" w:hAnsi="Calibri" w:cs="Calibri"/>
          <w:sz w:val="28"/>
          <w:szCs w:val="28"/>
        </w:rPr>
        <w:lastRenderedPageBreak/>
        <w:t>Conflicts of Interest: examples</w:t>
      </w:r>
    </w:p>
    <w:p w14:paraId="2F157647" w14:textId="77777777" w:rsidR="00EA3865" w:rsidRPr="00EA3865" w:rsidRDefault="00EA3865" w:rsidP="00EA3865">
      <w:pPr>
        <w:rPr>
          <w:rFonts w:ascii="Calibri" w:hAnsi="Calibri" w:cs="Calibri"/>
        </w:rPr>
      </w:pPr>
    </w:p>
    <w:p w14:paraId="0ACAA96A" w14:textId="2D0D648B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In line with current </w:t>
      </w:r>
      <w:hyperlink r:id="rId7" w:history="1">
        <w:r w:rsidRPr="00EA3865">
          <w:rPr>
            <w:rStyle w:val="Hyperlink"/>
            <w:rFonts w:ascii="Calibri" w:hAnsi="Calibri" w:cs="Calibri"/>
          </w:rPr>
          <w:t>UKRI Guidance</w:t>
        </w:r>
      </w:hyperlink>
      <w:r w:rsidRPr="00EA3865">
        <w:rPr>
          <w:rFonts w:ascii="Calibri" w:hAnsi="Calibri" w:cs="Calibri"/>
        </w:rPr>
        <w:t xml:space="preserve">, conflicts of interest would include the following. Please </w:t>
      </w:r>
      <w:proofErr w:type="gramStart"/>
      <w:r w:rsidRPr="00EA3865">
        <w:rPr>
          <w:rFonts w:ascii="Calibri" w:hAnsi="Calibri" w:cs="Calibri"/>
        </w:rPr>
        <w:t>note</w:t>
      </w:r>
      <w:proofErr w:type="gramEnd"/>
    </w:p>
    <w:p w14:paraId="1BD2028E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proofErr w:type="gramStart"/>
      <w:r w:rsidRPr="00EA3865">
        <w:rPr>
          <w:rFonts w:ascii="Calibri" w:hAnsi="Calibri" w:cs="Calibri"/>
        </w:rPr>
        <w:t>however</w:t>
      </w:r>
      <w:proofErr w:type="gramEnd"/>
      <w:r w:rsidRPr="00EA3865">
        <w:rPr>
          <w:rFonts w:ascii="Calibri" w:hAnsi="Calibri" w:cs="Calibri"/>
        </w:rPr>
        <w:t xml:space="preserve"> that this is not an exhaustive list and any factor which may adversely affect an assessor’s</w:t>
      </w:r>
    </w:p>
    <w:p w14:paraId="62B8BA28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capacity to make an unbiased decision (or which could reasonably be perceived to do so) should </w:t>
      </w:r>
      <w:proofErr w:type="gramStart"/>
      <w:r w:rsidRPr="00EA3865">
        <w:rPr>
          <w:rFonts w:ascii="Calibri" w:hAnsi="Calibri" w:cs="Calibri"/>
        </w:rPr>
        <w:t>be</w:t>
      </w:r>
      <w:proofErr w:type="gramEnd"/>
    </w:p>
    <w:p w14:paraId="63CA6FB0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declared.</w:t>
      </w:r>
    </w:p>
    <w:p w14:paraId="682BA700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are named on the application.</w:t>
      </w:r>
    </w:p>
    <w:p w14:paraId="6DB292B3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assisted the applicants in preparing the application; this would not cover general</w:t>
      </w:r>
    </w:p>
    <w:p w14:paraId="76B2C5D9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advice but would cover providing detailed comments.</w:t>
      </w:r>
    </w:p>
    <w:p w14:paraId="435D1A88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are named as a project partner, subcontractor, visiting researcher or have any type of</w:t>
      </w:r>
    </w:p>
    <w:p w14:paraId="65CFA141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relationship with the application.</w:t>
      </w:r>
    </w:p>
    <w:p w14:paraId="696A3040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written a letter of support for the application.</w:t>
      </w:r>
    </w:p>
    <w:p w14:paraId="29C9E7D6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been approached and agreed to be a member of a committee or board connected</w:t>
      </w:r>
    </w:p>
    <w:p w14:paraId="41CFB563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with the proposed project, for example an advisory group or steering committee/board.</w:t>
      </w:r>
    </w:p>
    <w:p w14:paraId="586E7D17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are in close regular collaboration with any individuals named in the application,</w:t>
      </w:r>
    </w:p>
    <w:p w14:paraId="21C1CB4D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including investigators, research staff, collaborators, subcontractors, and project partners,</w:t>
      </w:r>
    </w:p>
    <w:p w14:paraId="22A10AB0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to an extent where you feel uncomfortable being involved in the discussion or you feel</w:t>
      </w:r>
    </w:p>
    <w:p w14:paraId="1723C0E1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unable to give an unbiased opinion.</w:t>
      </w:r>
    </w:p>
    <w:p w14:paraId="51AB4164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a personal, financial, or professional relationship with any individuals named in</w:t>
      </w:r>
    </w:p>
    <w:p w14:paraId="31F8885F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the application.</w:t>
      </w:r>
    </w:p>
    <w:p w14:paraId="269485B2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been any of the applicants’ PhD supervisor, line manager or group leader in the</w:t>
      </w:r>
    </w:p>
    <w:p w14:paraId="2AD9C7B2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last three years, or the other way around.</w:t>
      </w:r>
    </w:p>
    <w:p w14:paraId="7FCEBCD2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stand to gain a financial or professional advantage from a particular outcome for an</w:t>
      </w:r>
    </w:p>
    <w:p w14:paraId="392EB73B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application which you are asked to review.</w:t>
      </w:r>
    </w:p>
    <w:p w14:paraId="50381E7C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any commercial or financial/pecuniary interest, for example where you are a</w:t>
      </w:r>
    </w:p>
    <w:p w14:paraId="13F662E7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member of an organisation that may benefit financially, directly or indirectly, from </w:t>
      </w:r>
      <w:proofErr w:type="gramStart"/>
      <w:r w:rsidRPr="00EA3865">
        <w:rPr>
          <w:rFonts w:ascii="Calibri" w:hAnsi="Calibri" w:cs="Calibri"/>
        </w:rPr>
        <w:t>any</w:t>
      </w:r>
      <w:proofErr w:type="gramEnd"/>
    </w:p>
    <w:p w14:paraId="6E3CE1F3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decision made.</w:t>
      </w:r>
    </w:p>
    <w:p w14:paraId="30B523A9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>• You have stocks or shares in a company named in an application.</w:t>
      </w:r>
    </w:p>
    <w:p w14:paraId="448DC657" w14:textId="77777777" w:rsidR="00EA3865" w:rsidRPr="00EA3865" w:rsidRDefault="00EA3865" w:rsidP="0018725E">
      <w:pPr>
        <w:spacing w:before="4" w:after="4" w:line="240" w:lineRule="auto"/>
        <w:rPr>
          <w:rFonts w:ascii="Calibri" w:hAnsi="Calibri" w:cs="Calibri"/>
        </w:rPr>
      </w:pPr>
    </w:p>
    <w:p w14:paraId="65CDCC78" w14:textId="77777777" w:rsidR="00EA3865" w:rsidRPr="00EA3865" w:rsidRDefault="0018725E" w:rsidP="00EA38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kern w:val="0"/>
          <w:sz w:val="21"/>
          <w:szCs w:val="21"/>
        </w:rPr>
      </w:pPr>
      <w:r w:rsidRPr="00EA3865">
        <w:rPr>
          <w:rFonts w:ascii="Calibri" w:hAnsi="Calibri" w:cs="Calibri"/>
        </w:rPr>
        <w:t>See:</w:t>
      </w:r>
      <w:r w:rsidR="00EA3865" w:rsidRPr="00EA3865">
        <w:rPr>
          <w:rFonts w:ascii="Calibri" w:hAnsi="Calibri" w:cs="Calibri"/>
        </w:rPr>
        <w:t xml:space="preserve"> </w:t>
      </w:r>
      <w:r w:rsidR="00EA3865" w:rsidRPr="00EA3865">
        <w:rPr>
          <w:rFonts w:ascii="Calibri" w:hAnsi="Calibri" w:cs="Calibri"/>
          <w:color w:val="0563C2"/>
          <w:kern w:val="0"/>
          <w:sz w:val="21"/>
          <w:szCs w:val="21"/>
        </w:rPr>
        <w:t>https://www.ukri.org/publications/ukri-declarations-of-interest-policy-andguidance/</w:t>
      </w:r>
    </w:p>
    <w:p w14:paraId="3025D1F4" w14:textId="2329F242" w:rsidR="00EA3865" w:rsidRPr="00EA3865" w:rsidRDefault="00EA3865" w:rsidP="00EA3865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  <w:color w:val="0563C2"/>
          <w:kern w:val="0"/>
          <w:sz w:val="21"/>
          <w:szCs w:val="21"/>
        </w:rPr>
        <w:t>declaration-of-interests-guidance-for-assessors-reviewers-and-panellists/</w:t>
      </w:r>
    </w:p>
    <w:p w14:paraId="35F44306" w14:textId="698CCDAC" w:rsidR="0018725E" w:rsidRPr="00EA3865" w:rsidRDefault="00EA3865" w:rsidP="0018725E">
      <w:pPr>
        <w:spacing w:before="4" w:after="4" w:line="240" w:lineRule="auto"/>
        <w:rPr>
          <w:rFonts w:ascii="Calibri" w:hAnsi="Calibri" w:cs="Calibri"/>
        </w:rPr>
      </w:pPr>
      <w:r w:rsidRPr="00EA3865">
        <w:rPr>
          <w:rFonts w:ascii="Calibri" w:hAnsi="Calibri" w:cs="Calibri"/>
        </w:rPr>
        <w:t xml:space="preserve">  </w:t>
      </w:r>
    </w:p>
    <w:p w14:paraId="0BAE9E67" w14:textId="77777777" w:rsidR="00EA3865" w:rsidRPr="00EA3865" w:rsidRDefault="00EA3865" w:rsidP="0018725E">
      <w:pPr>
        <w:spacing w:before="4" w:after="4" w:line="240" w:lineRule="auto"/>
        <w:rPr>
          <w:rFonts w:ascii="Calibri" w:hAnsi="Calibri" w:cs="Calibri"/>
        </w:rPr>
      </w:pPr>
    </w:p>
    <w:p w14:paraId="19A99113" w14:textId="77777777" w:rsidR="00EA3865" w:rsidRPr="00EA3865" w:rsidRDefault="00EA3865" w:rsidP="0018725E">
      <w:pPr>
        <w:spacing w:before="4" w:after="4" w:line="240" w:lineRule="auto"/>
        <w:rPr>
          <w:rFonts w:ascii="Calibri" w:hAnsi="Calibri" w:cs="Calibri"/>
        </w:rPr>
      </w:pPr>
    </w:p>
    <w:p w14:paraId="76BC1EA9" w14:textId="44FF854C" w:rsidR="0018725E" w:rsidRPr="00EA3865" w:rsidRDefault="0018725E" w:rsidP="00EA3865">
      <w:pPr>
        <w:spacing w:before="4" w:after="4" w:line="240" w:lineRule="auto"/>
        <w:jc w:val="right"/>
        <w:rPr>
          <w:rFonts w:ascii="Calibri" w:hAnsi="Calibri" w:cs="Calibri"/>
        </w:rPr>
      </w:pPr>
      <w:r w:rsidRPr="00EA3865">
        <w:rPr>
          <w:rFonts w:ascii="Calibri" w:hAnsi="Calibri" w:cs="Calibri"/>
        </w:rPr>
        <w:t>Prof Nick Race &amp; Prof Stephen Wilkinson</w:t>
      </w:r>
    </w:p>
    <w:p w14:paraId="248BE2D1" w14:textId="29F11F4C" w:rsidR="0018725E" w:rsidRPr="00EA3865" w:rsidRDefault="0018725E" w:rsidP="00EA3865">
      <w:pPr>
        <w:spacing w:before="4" w:after="4" w:line="240" w:lineRule="auto"/>
        <w:jc w:val="right"/>
        <w:rPr>
          <w:rFonts w:ascii="Calibri" w:hAnsi="Calibri" w:cs="Calibri"/>
        </w:rPr>
      </w:pPr>
      <w:r w:rsidRPr="00EA3865">
        <w:rPr>
          <w:rFonts w:ascii="Calibri" w:hAnsi="Calibri" w:cs="Calibri"/>
        </w:rPr>
        <w:t>12 December 2023</w:t>
      </w:r>
    </w:p>
    <w:p w14:paraId="1C63579B" w14:textId="77777777" w:rsidR="0018725E" w:rsidRPr="00EA3865" w:rsidRDefault="0018725E" w:rsidP="0018725E">
      <w:pPr>
        <w:spacing w:before="4" w:after="4" w:line="240" w:lineRule="auto"/>
        <w:rPr>
          <w:rFonts w:ascii="Calibri" w:hAnsi="Calibri" w:cs="Calibri"/>
        </w:rPr>
      </w:pPr>
    </w:p>
    <w:sectPr w:rsidR="0018725E" w:rsidRPr="00EA3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1617"/>
    <w:multiLevelType w:val="hybridMultilevel"/>
    <w:tmpl w:val="5E762E8E"/>
    <w:lvl w:ilvl="0" w:tplc="477E0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AC"/>
    <w:rsid w:val="0018725E"/>
    <w:rsid w:val="00373ADC"/>
    <w:rsid w:val="00B211AC"/>
    <w:rsid w:val="00BE53A8"/>
    <w:rsid w:val="00C75983"/>
    <w:rsid w:val="00D26FA2"/>
    <w:rsid w:val="00E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0974"/>
  <w15:chartTrackingRefBased/>
  <w15:docId w15:val="{00C4F441-6FD0-40F3-B4EA-3A0033A7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1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1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ri.org/wp-content/uploads/2023/03/UKRI-220623-DeclarationsInterestsGuidanceGrantPeerReviewAssess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.org/publications/ukri-principles-of-assessment-and-decision-making/" TargetMode="External"/><Relationship Id="rId5" Type="http://schemas.openxmlformats.org/officeDocument/2006/relationships/hyperlink" Target="https://www.gov.uk/government/publications/the-7-principles-of-public-life/the-7-principles-of-public-life-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Ost, Suzanne</dc:creator>
  <cp:keywords/>
  <dc:description/>
  <cp:lastModifiedBy>Ost, Suzanne</cp:lastModifiedBy>
  <cp:revision>1</cp:revision>
  <dcterms:created xsi:type="dcterms:W3CDTF">2024-03-04T11:41:00Z</dcterms:created>
  <dcterms:modified xsi:type="dcterms:W3CDTF">2024-03-04T15:15:00Z</dcterms:modified>
</cp:coreProperties>
</file>